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0"/>
      </w:pPr>
      <w:r/>
      <w:r/>
    </w:p>
    <w:p>
      <w:pPr>
        <w:pStyle w:val="850"/>
        <w:ind w:firstLine="709"/>
        <w:jc w:val="both"/>
      </w:pP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page">
                  <wp:posOffset>979170</wp:posOffset>
                </wp:positionH>
                <wp:positionV relativeFrom="page">
                  <wp:posOffset>2475865</wp:posOffset>
                </wp:positionV>
                <wp:extent cx="2066290" cy="243840"/>
                <wp:effectExtent l="0" t="0" r="0" b="0"/>
                <wp:wrapNone/>
                <wp:docPr id="1" name="_x0000_s10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2066290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846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</w:r>
                          </w:p>
                          <w:p>
                            <w:pPr>
                              <w:pStyle w:val="846"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0" o:spid="_x0000_s0" o:spt="202" type="#_x0000_t202" style="position:absolute;z-index:524288;o:allowoverlap:true;o:allowincell:true;mso-position-horizontal-relative:page;margin-left:77.10pt;mso-position-horizontal:absolute;mso-position-vertical-relative:page;margin-top:194.95pt;mso-position-vertical:absolute;width:162.70pt;height:19.20pt;mso-wrap-distance-left:9.00pt;mso-wrap-distance-top:0.00pt;mso-wrap-distance-right:9.00pt;mso-wrap-distance-bottom:0.00pt;visibility:visible;" filled="f" stroked="f">
                <v:textbox inset="0,0,0,0">
                  <w:txbxContent>
                    <w:p>
                      <w:pPr>
                        <w:pStyle w:val="846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</w:r>
                      <w:r>
                        <w:rPr>
                          <w:rFonts w:ascii="Times New Roman" w:hAnsi="Times New Roman" w:cs="Times New Roman"/>
                        </w:rPr>
                      </w:r>
                      <w:r>
                        <w:rPr>
                          <w:rFonts w:ascii="Times New Roman" w:hAnsi="Times New Roman" w:cs="Times New Roman"/>
                        </w:rPr>
                      </w:r>
                    </w:p>
                    <w:p>
                      <w:pPr>
                        <w:pStyle w:val="846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pStyle w:val="850"/>
        <w:jc w:val="center"/>
        <w:rPr>
          <w:szCs w:val="28"/>
        </w:rPr>
      </w:pPr>
      <w:r>
        <w:rPr>
          <w:szCs w:val="28"/>
        </w:rPr>
        <w:t xml:space="preserve">Перечень организаций, выполняющих обследование лабораторий неразрушающего контроля предприятий, осуществляющих изготовление, или ремонт, или техническое обслуживание железнодорожного подвижного состава, его деталей и составных частей, с целью их аттестации</w:t>
      </w:r>
      <w:r>
        <w:rPr>
          <w:szCs w:val="28"/>
        </w:rPr>
      </w:r>
      <w:r>
        <w:rPr>
          <w:szCs w:val="28"/>
        </w:rPr>
      </w:r>
    </w:p>
    <w:p>
      <w:pPr>
        <w:pStyle w:val="850"/>
        <w:jc w:val="center"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pStyle w:val="850"/>
        <w:jc w:val="both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tbl>
      <w:tblPr>
        <w:tblW w:w="10221" w:type="dxa"/>
        <w:tblInd w:w="93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417"/>
        <w:gridCol w:w="3683"/>
        <w:gridCol w:w="3121"/>
      </w:tblGrid>
      <w:tr>
        <w:tblPrEx/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17" w:type="dxa"/>
            <w:vAlign w:val="bottom"/>
            <w:textDirection w:val="lrTb"/>
            <w:noWrap w:val="false"/>
          </w:tcPr>
          <w:p>
            <w:pPr>
              <w:pStyle w:val="846"/>
              <w:widowControl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 w:bidi="ar-SA"/>
              </w:rPr>
              <w:t xml:space="preserve">Наименование организации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 w:bidi="ar-SA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3683" w:type="dxa"/>
            <w:vAlign w:val="bottom"/>
            <w:textDirection w:val="lrTb"/>
            <w:noWrap w:val="false"/>
          </w:tcPr>
          <w:p>
            <w:pPr>
              <w:pStyle w:val="846"/>
              <w:widowControl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 w:bidi="ar-SA"/>
              </w:rPr>
              <w:t xml:space="preserve">Адреса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 w:bidi="ar-SA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3121" w:type="dxa"/>
            <w:vAlign w:val="bottom"/>
            <w:textDirection w:val="lrTb"/>
            <w:noWrap w:val="false"/>
          </w:tcPr>
          <w:p>
            <w:pPr>
              <w:pStyle w:val="846"/>
              <w:widowControl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 w:bidi="ar-SA"/>
              </w:rPr>
              <w:t xml:space="preserve">Контакты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 w:bidi="ar-SA"/>
              </w:rPr>
            </w:r>
          </w:p>
        </w:tc>
      </w:tr>
      <w:tr>
        <w:tblPrEx/>
        <w:trPr>
          <w:trHeight w:val="108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17" w:type="dxa"/>
            <w:vAlign w:val="center"/>
            <w:textDirection w:val="lrTb"/>
            <w:noWrap w:val="false"/>
          </w:tcPr>
          <w:p>
            <w:pPr>
              <w:pStyle w:val="846"/>
              <w:widowControl/>
              <w:rPr>
                <w:rFonts w:ascii="Times New Roman" w:hAnsi="Times New Roman" w:eastAsia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 w:bidi="ar-SA"/>
              </w:rPr>
              <w:t xml:space="preserve">Акционерное общество «Научно-исследовательский институт мостов и дефектоскопии» (АО «НИИ МОСТОВ»)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 w:bidi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 w:bidi="ar-SA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3683" w:type="dxa"/>
            <w:vAlign w:val="center"/>
            <w:textDirection w:val="lrTb"/>
            <w:noWrap w:val="false"/>
          </w:tcPr>
          <w:p>
            <w:pPr>
              <w:pStyle w:val="846"/>
              <w:widowControl/>
              <w:rPr>
                <w:rFonts w:ascii="Times New Roman" w:hAnsi="Times New Roman" w:eastAsia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 w:bidi="ar-SA"/>
              </w:rPr>
              <w:t xml:space="preserve">196240, г. Санкт-Петербург, Пулковское шоссе, д. 29, к.8, литера ДА, пом. 3-Н, офис 303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 w:bidi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 w:bidi="ar-SA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3121" w:type="dxa"/>
            <w:vAlign w:val="center"/>
            <w:textDirection w:val="lrTb"/>
            <w:noWrap w:val="false"/>
          </w:tcPr>
          <w:p>
            <w:pPr>
              <w:pStyle w:val="846"/>
              <w:widowControl/>
              <w:rPr>
                <w:rFonts w:ascii="Times New Roman" w:hAnsi="Times New Roman" w:eastAsia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 w:bidi="ar-SA"/>
              </w:rPr>
              <w:t xml:space="preserve">8 (812) 438-05-70 </w:t>
            </w:r>
            <w:hyperlink r:id="rId10" w:tooltip="http://niim@niimostov.ru" w:history="1">
              <w:r>
                <w:rPr>
                  <w:rStyle w:val="870"/>
                  <w:rFonts w:ascii="Times New Roman" w:hAnsi="Times New Roman" w:eastAsia="Times New Roman" w:cs="Times New Roman"/>
                  <w:lang w:eastAsia="ru-RU" w:bidi="ar-SA"/>
                </w:rPr>
                <w:t xml:space="preserve">niim@niimostov.ru</w:t>
              </w:r>
            </w:hyperlink>
            <w:r>
              <w:rPr>
                <w:rFonts w:ascii="Times New Roman" w:hAnsi="Times New Roman" w:eastAsia="Times New Roman" w:cs="Times New Roman"/>
                <w:color w:val="000000"/>
                <w:lang w:eastAsia="ru-RU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 w:bidi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 w:bidi="ar-SA"/>
              </w:rPr>
            </w:r>
          </w:p>
        </w:tc>
      </w:tr>
      <w:tr>
        <w:tblPrEx/>
        <w:trPr>
          <w:trHeight w:val="1245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17" w:type="dxa"/>
            <w:vAlign w:val="top"/>
            <w:textDirection w:val="lrTb"/>
            <w:noWrap w:val="false"/>
          </w:tcPr>
          <w:p>
            <w:pPr>
              <w:pStyle w:val="846"/>
              <w:widowControl/>
              <w:rPr>
                <w:rFonts w:ascii="Times New Roman" w:hAnsi="Times New Roman" w:eastAsia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 w:bidi="ar-SA"/>
              </w:rPr>
              <w:t xml:space="preserve">Акционерное общество "Научно-исследовательский институт вагоностроения" (АО "ВНИИВ")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 w:bidi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 w:bidi="ar-SA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3683" w:type="dxa"/>
            <w:vAlign w:val="bottom"/>
            <w:textDirection w:val="lrTb"/>
            <w:noWrap w:val="false"/>
          </w:tcPr>
          <w:p>
            <w:pPr>
              <w:widowControl/>
              <w:rPr>
                <w:rFonts w:ascii="Times New Roman" w:hAnsi="Times New Roman" w:eastAsia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  <w:lang w:eastAsia="ru-RU" w:bidi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highlight w:val="none"/>
                <w:lang w:eastAsia="ru-RU" w:bidi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 w:bidi="ar-SA"/>
              </w:rPr>
            </w:r>
          </w:p>
          <w:p>
            <w:pPr>
              <w:widowControl/>
              <w:rPr>
                <w:rFonts w:ascii="Times New Roman" w:hAnsi="Times New Roman" w:eastAsia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 w:bidi="ar-SA"/>
              </w:rPr>
              <w:t xml:space="preserve">123056, г. Москва, вн.тер.г.муниципальный округ Пресненский, ул. Юлиуса Фучика, д. 6, стр. 2, помещ. 6Ч</w:t>
            </w:r>
            <w:r>
              <w:rPr>
                <w:rFonts w:ascii="Times New Roman" w:hAnsi="Times New Roman" w:eastAsia="Times New Roman" w:cs="Times New Roman"/>
                <w:color w:val="000000"/>
                <w:highlight w:val="none"/>
                <w:lang w:eastAsia="ru-RU" w:bidi="ar-SA"/>
              </w:rPr>
            </w:r>
          </w:p>
          <w:p>
            <w:pPr>
              <w:widowControl/>
              <w:rPr>
                <w:rFonts w:ascii="Times New Roman" w:hAnsi="Times New Roman" w:eastAsia="Times New Roman" w:cs="Times New Roman"/>
                <w:color w:val="000000"/>
                <w:highlight w:val="none"/>
                <w:lang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 w:bidi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 w:bidi="ar-SA"/>
              </w:rPr>
              <w:t xml:space="preserve">почтовый адрес: 105318,</w:t>
            </w:r>
            <w:r>
              <w:rPr>
                <w:rFonts w:ascii="Times New Roman" w:hAnsi="Times New Roman" w:eastAsia="Times New Roman" w:cs="Times New Roman"/>
                <w:color w:val="000000"/>
                <w:highlight w:val="none"/>
                <w:lang w:eastAsia="ru-RU" w:bidi="ar-SA"/>
              </w:rPr>
            </w:r>
            <w:r/>
          </w:p>
          <w:p>
            <w:pPr>
              <w:widowControl/>
              <w:rPr>
                <w:rFonts w:ascii="Times New Roman" w:hAnsi="Times New Roman" w:eastAsia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 w:bidi="ar-SA"/>
              </w:rPr>
              <w:t xml:space="preserve"> г. Москва а/я 19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 w:bidi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 w:bidi="ar-SA"/>
              </w:rPr>
            </w:r>
          </w:p>
          <w:p>
            <w:pPr>
              <w:widowControl/>
              <w:rPr>
                <w:rFonts w:ascii="Times New Roman" w:hAnsi="Times New Roman" w:eastAsia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 w:bidi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 w:bidi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 w:bidi="ar-SA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3121" w:type="dxa"/>
            <w:vAlign w:val="center"/>
            <w:textDirection w:val="lrTb"/>
            <w:noWrap w:val="false"/>
          </w:tcPr>
          <w:p>
            <w:pPr>
              <w:pStyle w:val="846"/>
              <w:widowControl/>
              <w:rPr>
                <w:rFonts w:ascii="Times New Roman" w:hAnsi="Times New Roman" w:eastAsia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 w:bidi="ar-SA"/>
              </w:rPr>
              <w:t xml:space="preserve">8 (499) 384-00-73 </w:t>
            </w:r>
            <w:hyperlink r:id="rId11" w:tooltip="http://niivagon@mail.ru" w:history="1">
              <w:r>
                <w:rPr>
                  <w:rStyle w:val="870"/>
                  <w:rFonts w:ascii="Times New Roman" w:hAnsi="Times New Roman" w:eastAsia="Times New Roman" w:cs="Times New Roman"/>
                  <w:lang w:eastAsia="ru-RU" w:bidi="ar-SA"/>
                </w:rPr>
                <w:t xml:space="preserve">niivagon@mail.ru</w:t>
              </w:r>
            </w:hyperlink>
            <w:r>
              <w:rPr>
                <w:rFonts w:ascii="Times New Roman" w:hAnsi="Times New Roman" w:eastAsia="Times New Roman" w:cs="Times New Roman"/>
                <w:color w:val="000000"/>
                <w:lang w:eastAsia="ru-RU" w:bidi="ar-SA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 w:bidi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 w:bidi="ar-SA"/>
              </w:rPr>
            </w:r>
          </w:p>
        </w:tc>
      </w:tr>
      <w:tr>
        <w:tblPrEx/>
        <w:trPr>
          <w:trHeight w:val="1305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17" w:type="dxa"/>
            <w:vAlign w:val="center"/>
            <w:textDirection w:val="lrTb"/>
            <w:noWrap w:val="false"/>
          </w:tcPr>
          <w:p>
            <w:pPr>
              <w:pStyle w:val="846"/>
              <w:widowControl/>
              <w:rPr>
                <w:rFonts w:ascii="Times New Roman" w:hAnsi="Times New Roman" w:eastAsia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 w:bidi="ar-SA"/>
              </w:rPr>
              <w:t xml:space="preserve">Общество с ограниченной ответственностью "Экспертный центр по неразрушающему контролю ПГУПС" (НК-Центр ПГУПС)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 w:bidi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 w:bidi="ar-SA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3683" w:type="dxa"/>
            <w:vAlign w:val="center"/>
            <w:textDirection w:val="lrTb"/>
            <w:noWrap w:val="false"/>
          </w:tcPr>
          <w:p>
            <w:pPr>
              <w:pStyle w:val="846"/>
              <w:widowControl/>
              <w:rPr>
                <w:rFonts w:ascii="Times New Roman" w:hAnsi="Times New Roman" w:eastAsia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 w:bidi="ar-SA"/>
              </w:rPr>
              <w:t xml:space="preserve">190031, г. Санкт-Петербург, Московский пр., д. 22, литер Л, пом. 34-Н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 w:bidi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 w:bidi="ar-SA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3121" w:type="dxa"/>
            <w:vAlign w:val="center"/>
            <w:textDirection w:val="lrTb"/>
            <w:noWrap w:val="false"/>
          </w:tcPr>
          <w:p>
            <w:pPr>
              <w:pStyle w:val="846"/>
              <w:widowControl/>
              <w:rPr>
                <w:rFonts w:ascii="Times New Roman" w:hAnsi="Times New Roman" w:eastAsia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 w:bidi="ar-SA"/>
              </w:rPr>
              <w:t xml:space="preserve">8 (812)309-55-03 </w:t>
            </w:r>
            <w:hyperlink r:id="rId12" w:tooltip="http://ndtcenter@yandex.ru" w:history="1">
              <w:r>
                <w:rPr>
                  <w:rStyle w:val="870"/>
                  <w:rFonts w:ascii="Times New Roman" w:hAnsi="Times New Roman" w:eastAsia="Times New Roman" w:cs="Times New Roman"/>
                  <w:lang w:eastAsia="ru-RU" w:bidi="ar-SA"/>
                </w:rPr>
                <w:t xml:space="preserve">ndtcenter@yandex.ru</w:t>
              </w:r>
            </w:hyperlink>
            <w:r>
              <w:rPr>
                <w:rFonts w:ascii="Times New Roman" w:hAnsi="Times New Roman" w:eastAsia="Times New Roman" w:cs="Times New Roman"/>
                <w:color w:val="000000"/>
                <w:lang w:eastAsia="ru-RU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 w:bidi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 w:bidi="ar-SA"/>
              </w:rPr>
            </w:r>
          </w:p>
        </w:tc>
      </w:tr>
      <w:tr>
        <w:tblPrEx/>
        <w:trPr>
          <w:trHeight w:val="99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17" w:type="dxa"/>
            <w:vAlign w:val="center"/>
            <w:textDirection w:val="lrTb"/>
            <w:noWrap w:val="false"/>
          </w:tcPr>
          <w:p>
            <w:pPr>
              <w:pStyle w:val="846"/>
              <w:widowControl/>
              <w:rPr>
                <w:rFonts w:ascii="Times New Roman" w:hAnsi="Times New Roman" w:eastAsia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 w:bidi="ar-SA"/>
              </w:rPr>
              <w:t xml:space="preserve">Общество с ограниченной ответственностью "Экспертный Центр подвижного состава"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 w:bidi="ar-SA"/>
              </w:rPr>
              <w:t xml:space="preserve"> (ЭЦПС)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 w:bidi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 w:bidi="ar-SA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3683" w:type="dxa"/>
            <w:vAlign w:val="center"/>
            <w:textDirection w:val="lrTb"/>
            <w:noWrap w:val="false"/>
          </w:tcPr>
          <w:p>
            <w:pPr>
              <w:pStyle w:val="846"/>
              <w:widowControl/>
              <w:rPr>
                <w:rFonts w:ascii="Times New Roman" w:hAnsi="Times New Roman" w:eastAsia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 w:bidi="ar-SA"/>
              </w:rPr>
              <w:t xml:space="preserve">190013, г. Санкт-Петербург,  наб.р. Фонтанки, д. 108, пом. 21Н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 w:bidi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 w:bidi="ar-SA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3121" w:type="dxa"/>
            <w:vAlign w:val="center"/>
            <w:textDirection w:val="lrTb"/>
            <w:noWrap w:val="false"/>
          </w:tcPr>
          <w:p>
            <w:pPr>
              <w:pStyle w:val="846"/>
              <w:widowControl/>
              <w:rPr>
                <w:rFonts w:ascii="Times New Roman" w:hAnsi="Times New Roman" w:eastAsia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 w:bidi="ar-SA"/>
              </w:rPr>
              <w:t xml:space="preserve">8 (812) 575-07-15 </w:t>
            </w:r>
            <w:hyperlink r:id="rId13" w:tooltip="http://expcent@engcenter.ru" w:history="1">
              <w:r>
                <w:rPr>
                  <w:rStyle w:val="870"/>
                  <w:rFonts w:ascii="Times New Roman" w:hAnsi="Times New Roman" w:eastAsia="Times New Roman" w:cs="Times New Roman"/>
                  <w:lang w:eastAsia="ru-RU" w:bidi="ar-SA"/>
                </w:rPr>
                <w:t xml:space="preserve">expcent@engcenter.ru</w:t>
              </w:r>
            </w:hyperlink>
            <w:r>
              <w:rPr>
                <w:rFonts w:ascii="Times New Roman" w:hAnsi="Times New Roman" w:eastAsia="Times New Roman" w:cs="Times New Roman"/>
                <w:color w:val="000000"/>
                <w:lang w:eastAsia="ru-RU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 w:bidi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 w:bidi="ar-SA"/>
              </w:rPr>
            </w:r>
          </w:p>
        </w:tc>
      </w:tr>
      <w:tr>
        <w:tblPrEx/>
        <w:trPr>
          <w:trHeight w:val="120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17" w:type="dxa"/>
            <w:vAlign w:val="center"/>
            <w:textDirection w:val="lrTb"/>
            <w:noWrap w:val="false"/>
          </w:tcPr>
          <w:p>
            <w:pPr>
              <w:pStyle w:val="846"/>
              <w:widowControl/>
              <w:rPr>
                <w:rFonts w:ascii="Times New Roman" w:hAnsi="Times New Roman" w:eastAsia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 w:bidi="ar-SA"/>
              </w:rPr>
              <w:t xml:space="preserve">Федеральное бюджетное учреждение "Регистр сертификации на федеральном железнодорожном транспорте" (ФБУ "РС ФЖТ")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 w:bidi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 w:bidi="ar-SA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3683" w:type="dxa"/>
            <w:vAlign w:val="center"/>
            <w:textDirection w:val="lrTb"/>
            <w:noWrap w:val="false"/>
          </w:tcPr>
          <w:p>
            <w:pPr>
              <w:pStyle w:val="846"/>
              <w:widowControl/>
              <w:rPr>
                <w:rFonts w:ascii="Times New Roman" w:hAnsi="Times New Roman" w:eastAsia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 w:bidi="ar-SA"/>
              </w:rPr>
              <w:t xml:space="preserve">129626, г. Москва, ул. 3-я Мытищинская, д. 10, стр. 10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 w:bidi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 w:bidi="ar-SA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3121" w:type="dxa"/>
            <w:vAlign w:val="center"/>
            <w:textDirection w:val="lrTb"/>
            <w:noWrap w:val="false"/>
          </w:tcPr>
          <w:p>
            <w:pPr>
              <w:pStyle w:val="846"/>
              <w:widowControl/>
              <w:rPr>
                <w:rFonts w:ascii="Times New Roman" w:hAnsi="Times New Roman" w:eastAsia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 w:bidi="ar-SA"/>
              </w:rPr>
              <w:t xml:space="preserve">8 (495) 646-27-15, </w:t>
            </w:r>
            <w:hyperlink r:id="rId14" w:tooltip="http://register@rsfgt.ru" w:history="1">
              <w:r>
                <w:rPr>
                  <w:rStyle w:val="870"/>
                  <w:rFonts w:ascii="Times New Roman" w:hAnsi="Times New Roman" w:eastAsia="Times New Roman" w:cs="Times New Roman"/>
                  <w:lang w:eastAsia="ru-RU" w:bidi="ar-SA"/>
                </w:rPr>
                <w:t xml:space="preserve">register@rsfgt.ru</w:t>
              </w:r>
            </w:hyperlink>
            <w:r>
              <w:rPr>
                <w:rFonts w:ascii="Times New Roman" w:hAnsi="Times New Roman" w:eastAsia="Times New Roman" w:cs="Times New Roman"/>
                <w:color w:val="000000"/>
                <w:lang w:eastAsia="ru-RU" w:bidi="ar-SA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 w:bidi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 w:bidi="ar-SA"/>
              </w:rPr>
            </w:r>
          </w:p>
        </w:tc>
      </w:tr>
      <w:tr>
        <w:tblPrEx/>
        <w:trPr>
          <w:trHeight w:val="120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17" w:type="dxa"/>
            <w:vAlign w:val="top"/>
            <w:vMerge w:val="restart"/>
            <w:textDirection w:val="lrTb"/>
            <w:noWrap w:val="false"/>
          </w:tcPr>
          <w:p>
            <w:pPr>
              <w:pStyle w:val="846"/>
              <w:widowControl/>
              <w:rPr>
                <w:rFonts w:ascii="Times New Roman" w:hAnsi="Times New Roman" w:eastAsia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 w:bidi="ar-SA"/>
              </w:rPr>
              <w:t xml:space="preserve">Общество с ограниченной ответственностью «ТрансЭкспертГрупп» (ООО «ТЭГ»)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 w:bidi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 w:bidi="ar-SA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3683" w:type="dxa"/>
            <w:vAlign w:val="center"/>
            <w:vMerge w:val="restart"/>
            <w:textDirection w:val="lrTb"/>
            <w:noWrap w:val="false"/>
          </w:tcPr>
          <w:p>
            <w:pPr>
              <w:pStyle w:val="846"/>
              <w:widowControl/>
              <w:rPr>
                <w:rFonts w:ascii="Times New Roman" w:hAnsi="Times New Roman" w:eastAsia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 w:bidi="ar-SA"/>
              </w:rPr>
              <w:t xml:space="preserve">129626, г. Москва, пр-кт Мира,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 w:bidi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 w:bidi="ar-SA"/>
              </w:rPr>
            </w:r>
          </w:p>
          <w:p>
            <w:pPr>
              <w:widowControl/>
              <w:rPr>
                <w:rFonts w:ascii="Times New Roman" w:hAnsi="Times New Roman" w:eastAsia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 w:bidi="ar-SA"/>
              </w:rPr>
              <w:t xml:space="preserve">д. 106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 w:bidi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 w:bidi="ar-SA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3121" w:type="dxa"/>
            <w:vAlign w:val="center"/>
            <w:vMerge w:val="restart"/>
            <w:textDirection w:val="lrTb"/>
            <w:noWrap w:val="false"/>
          </w:tcPr>
          <w:p>
            <w:pPr>
              <w:pStyle w:val="846"/>
              <w:widowControl/>
              <w:rPr>
                <w:rFonts w:ascii="Times New Roman" w:hAnsi="Times New Roman" w:eastAsia="Times New Roman" w:cs="Times New Roman"/>
                <w:color w:val="000000"/>
                <w:highlight w:val="none"/>
                <w:lang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 w:bidi="ar-SA"/>
              </w:rPr>
              <w:t xml:space="preserve">8 (495) 968-46-56,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 w:bidi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highlight w:val="none"/>
                <w:lang w:eastAsia="ru-RU" w:bidi="ar-SA"/>
              </w:rPr>
            </w:r>
          </w:p>
          <w:p>
            <w:pPr>
              <w:widowControl/>
              <w:rPr>
                <w:rFonts w:ascii="Times New Roman" w:hAnsi="Times New Roman" w:eastAsia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  <w:lang w:eastAsia="ru-RU" w:bidi="ar-SA"/>
              </w:rPr>
            </w:r>
            <w:hyperlink r:id="rId15" w:tooltip="http://info@zdregistr.ru" w:history="1">
              <w:r>
                <w:rPr>
                  <w:rStyle w:val="870"/>
                  <w:rFonts w:ascii="Times New Roman" w:hAnsi="Times New Roman" w:eastAsia="Times New Roman" w:cs="Times New Roman"/>
                  <w:highlight w:val="none"/>
                  <w:lang w:eastAsia="ru-RU" w:bidi="ar-SA"/>
                </w:rPr>
                <w:t xml:space="preserve">info@zdregistr.ru</w:t>
              </w:r>
            </w:hyperlink>
            <w:r>
              <w:rPr>
                <w:rFonts w:ascii="Times New Roman" w:hAnsi="Times New Roman" w:eastAsia="Times New Roman" w:cs="Times New Roman"/>
                <w:color w:val="000000"/>
                <w:highlight w:val="none"/>
                <w:lang w:eastAsia="ru-RU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highlight w:val="none"/>
                <w:lang w:eastAsia="ru-RU" w:bidi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 w:bidi="ar-SA"/>
              </w:rPr>
            </w:r>
          </w:p>
        </w:tc>
      </w:tr>
    </w:tbl>
    <w:p>
      <w:r/>
      <w:r/>
    </w:p>
    <w:sectPr>
      <w:headerReference w:type="default" r:id="rId9"/>
      <w:footnotePr/>
      <w:endnotePr/>
      <w:type w:val="nextPage"/>
      <w:pgSz w:w="11906" w:h="16838" w:orient="portrait"/>
      <w:pgMar w:top="1134" w:right="567" w:bottom="709" w:left="1134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Liberation Sans">
    <w:panose1 w:val="020B0604020202020204"/>
  </w:font>
  <w:font w:name="Microsoft YaHei">
    <w:panose1 w:val="020B0503020203020204"/>
  </w:font>
  <w:font w:name="Times New Roman">
    <w:panose1 w:val="02020603050405020304"/>
  </w:font>
  <w:font w:name="Arial">
    <w:panose1 w:val="020B0604020202020204"/>
  </w:font>
  <w:font w:name="SimSun">
    <w:panose1 w:val="02000506000000020000"/>
  </w:font>
  <w:font w:name="Mangal">
    <w:panose1 w:val="02040503050306020203"/>
  </w:font>
  <w:font w:name="Liberation Serif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58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866"/>
      <w:isLgl w:val="false"/>
      <w:suff w:val="tab"/>
      <w:lvlText w:val="%1."/>
      <w:lvlJc w:val="left"/>
      <w:pPr/>
    </w:lvl>
    <w:lvl w:ilvl="1">
      <w:start w:val="1"/>
      <w:numFmt w:val="decimal"/>
      <w:isLgl w:val="false"/>
      <w:suff w:val="tab"/>
      <w:lvlText w:val="%2."/>
      <w:lvlJc w:val="left"/>
      <w:pPr/>
    </w:lvl>
    <w:lvl w:ilvl="2">
      <w:start w:val="1"/>
      <w:numFmt w:val="decimal"/>
      <w:isLgl w:val="false"/>
      <w:suff w:val="tab"/>
      <w:lvlText w:val="%3."/>
      <w:lvlJc w:val="left"/>
      <w:pPr/>
    </w:lvl>
    <w:lvl w:ilvl="3">
      <w:start w:val="1"/>
      <w:numFmt w:val="decimal"/>
      <w:isLgl w:val="false"/>
      <w:suff w:val="tab"/>
      <w:lvlText w:val="%4."/>
      <w:lvlJc w:val="left"/>
      <w:pPr/>
    </w:lvl>
    <w:lvl w:ilvl="4">
      <w:start w:val="1"/>
      <w:numFmt w:val="decimal"/>
      <w:isLgl w:val="false"/>
      <w:suff w:val="tab"/>
      <w:lvlText w:val="%5."/>
      <w:lvlJc w:val="left"/>
      <w:pPr/>
    </w:lvl>
    <w:lvl w:ilvl="5">
      <w:start w:val="1"/>
      <w:numFmt w:val="decimal"/>
      <w:isLgl w:val="false"/>
      <w:suff w:val="tab"/>
      <w:lvlText w:val="%6."/>
      <w:lvlJc w:val="left"/>
      <w:pPr/>
    </w:lvl>
    <w:lvl w:ilvl="6">
      <w:start w:val="1"/>
      <w:numFmt w:val="decimal"/>
      <w:isLgl w:val="false"/>
      <w:suff w:val="tab"/>
      <w:lvlText w:val="%7."/>
      <w:lvlJc w:val="left"/>
      <w:pPr/>
    </w:lvl>
    <w:lvl w:ilvl="7">
      <w:start w:val="1"/>
      <w:numFmt w:val="decimal"/>
      <w:isLgl w:val="false"/>
      <w:suff w:val="tab"/>
      <w:lvlText w:val="%8."/>
      <w:lvlJc w:val="left"/>
      <w:pPr/>
    </w:lvl>
    <w:lvl w:ilvl="8">
      <w:start w:val="1"/>
      <w:numFmt w:val="decimal"/>
      <w:isLgl w:val="false"/>
      <w:suff w:val="tab"/>
      <w:lvlText w:val="%9."/>
      <w:lvlJc w:val="left"/>
      <w:pPr/>
    </w:lvl>
  </w:abstractNum>
  <w:abstractNum w:abstractNumId="1">
    <w:multiLevelType w:val="hybridMultilevel"/>
    <w:lvl w:ilvl="0">
      <w:start w:val="0"/>
      <w:numFmt w:val="decimal"/>
      <w:pStyle w:val="857"/>
      <w:isLgl w:val="false"/>
      <w:suff w:val="tab"/>
      <w:lvlText w:val="%1"/>
      <w:lvlJc w:val="left"/>
      <w:pPr/>
    </w:lvl>
    <w:lvl w:ilvl="1">
      <w:start w:val="1"/>
      <w:numFmt w:val="decimal"/>
      <w:isLgl w:val="false"/>
      <w:suff w:val="tab"/>
      <w:lvlText w:val="%2."/>
      <w:lvlJc w:val="left"/>
      <w:pPr/>
    </w:lvl>
    <w:lvl w:ilvl="2">
      <w:start w:val="1"/>
      <w:numFmt w:val="decimal"/>
      <w:isLgl w:val="false"/>
      <w:suff w:val="tab"/>
      <w:lvlText w:val="%3."/>
      <w:lvlJc w:val="left"/>
      <w:pPr/>
    </w:lvl>
    <w:lvl w:ilvl="3">
      <w:start w:val="1"/>
      <w:numFmt w:val="decimal"/>
      <w:isLgl w:val="false"/>
      <w:suff w:val="tab"/>
      <w:lvlText w:val="%4."/>
      <w:lvlJc w:val="left"/>
      <w:pPr/>
    </w:lvl>
    <w:lvl w:ilvl="4">
      <w:start w:val="1"/>
      <w:numFmt w:val="decimal"/>
      <w:isLgl w:val="false"/>
      <w:suff w:val="tab"/>
      <w:lvlText w:val="%5."/>
      <w:lvlJc w:val="left"/>
      <w:pPr/>
    </w:lvl>
    <w:lvl w:ilvl="5">
      <w:start w:val="1"/>
      <w:numFmt w:val="decimal"/>
      <w:isLgl w:val="false"/>
      <w:suff w:val="tab"/>
      <w:lvlText w:val="%6."/>
      <w:lvlJc w:val="left"/>
      <w:pPr/>
    </w:lvl>
    <w:lvl w:ilvl="6">
      <w:start w:val="1"/>
      <w:numFmt w:val="decimal"/>
      <w:isLgl w:val="false"/>
      <w:suff w:val="tab"/>
      <w:lvlText w:val="%7."/>
      <w:lvlJc w:val="left"/>
      <w:pPr/>
    </w:lvl>
    <w:lvl w:ilvl="7">
      <w:start w:val="1"/>
      <w:numFmt w:val="decimal"/>
      <w:isLgl w:val="false"/>
      <w:suff w:val="tab"/>
      <w:lvlText w:val="%8."/>
      <w:lvlJc w:val="left"/>
      <w:pPr/>
    </w:lvl>
    <w:lvl w:ilvl="8">
      <w:start w:val="1"/>
      <w:numFmt w:val="decimal"/>
      <w:isLgl w:val="false"/>
      <w:suff w:val="tab"/>
      <w:lvlText w:val="%9."/>
      <w:lvlJc w:val="left"/>
      <w:pPr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Liberation Serif" w:hAnsi="Liberation Serif" w:eastAsia="SimSun" w:cs="Mangal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8">
    <w:name w:val="Heading 1"/>
    <w:basedOn w:val="846"/>
    <w:next w:val="846"/>
    <w:link w:val="66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9">
    <w:name w:val="Heading 1 Char"/>
    <w:link w:val="668"/>
    <w:uiPriority w:val="9"/>
    <w:rPr>
      <w:rFonts w:ascii="Arial" w:hAnsi="Arial" w:eastAsia="Arial" w:cs="Arial"/>
      <w:sz w:val="40"/>
      <w:szCs w:val="40"/>
    </w:rPr>
  </w:style>
  <w:style w:type="paragraph" w:styleId="670">
    <w:name w:val="Heading 2"/>
    <w:basedOn w:val="846"/>
    <w:next w:val="846"/>
    <w:link w:val="67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1">
    <w:name w:val="Heading 2 Char"/>
    <w:link w:val="670"/>
    <w:uiPriority w:val="9"/>
    <w:rPr>
      <w:rFonts w:ascii="Arial" w:hAnsi="Arial" w:eastAsia="Arial" w:cs="Arial"/>
      <w:sz w:val="34"/>
    </w:rPr>
  </w:style>
  <w:style w:type="paragraph" w:styleId="672">
    <w:name w:val="Heading 3"/>
    <w:basedOn w:val="846"/>
    <w:next w:val="846"/>
    <w:link w:val="67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3">
    <w:name w:val="Heading 3 Char"/>
    <w:link w:val="672"/>
    <w:uiPriority w:val="9"/>
    <w:rPr>
      <w:rFonts w:ascii="Arial" w:hAnsi="Arial" w:eastAsia="Arial" w:cs="Arial"/>
      <w:sz w:val="30"/>
      <w:szCs w:val="30"/>
    </w:rPr>
  </w:style>
  <w:style w:type="paragraph" w:styleId="674">
    <w:name w:val="Heading 4"/>
    <w:basedOn w:val="846"/>
    <w:next w:val="846"/>
    <w:link w:val="67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5">
    <w:name w:val="Heading 4 Char"/>
    <w:link w:val="674"/>
    <w:uiPriority w:val="9"/>
    <w:rPr>
      <w:rFonts w:ascii="Arial" w:hAnsi="Arial" w:eastAsia="Arial" w:cs="Arial"/>
      <w:b/>
      <w:bCs/>
      <w:sz w:val="26"/>
      <w:szCs w:val="26"/>
    </w:rPr>
  </w:style>
  <w:style w:type="paragraph" w:styleId="676">
    <w:name w:val="Heading 5"/>
    <w:basedOn w:val="846"/>
    <w:next w:val="846"/>
    <w:link w:val="67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7">
    <w:name w:val="Heading 5 Char"/>
    <w:link w:val="676"/>
    <w:uiPriority w:val="9"/>
    <w:rPr>
      <w:rFonts w:ascii="Arial" w:hAnsi="Arial" w:eastAsia="Arial" w:cs="Arial"/>
      <w:b/>
      <w:bCs/>
      <w:sz w:val="24"/>
      <w:szCs w:val="24"/>
    </w:rPr>
  </w:style>
  <w:style w:type="paragraph" w:styleId="678">
    <w:name w:val="Heading 6"/>
    <w:basedOn w:val="846"/>
    <w:next w:val="846"/>
    <w:link w:val="67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9">
    <w:name w:val="Heading 6 Char"/>
    <w:link w:val="678"/>
    <w:uiPriority w:val="9"/>
    <w:rPr>
      <w:rFonts w:ascii="Arial" w:hAnsi="Arial" w:eastAsia="Arial" w:cs="Arial"/>
      <w:b/>
      <w:bCs/>
      <w:sz w:val="22"/>
      <w:szCs w:val="22"/>
    </w:rPr>
  </w:style>
  <w:style w:type="paragraph" w:styleId="680">
    <w:name w:val="Heading 7"/>
    <w:basedOn w:val="846"/>
    <w:next w:val="846"/>
    <w:link w:val="68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1">
    <w:name w:val="Heading 7 Char"/>
    <w:link w:val="68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2">
    <w:name w:val="Heading 8"/>
    <w:basedOn w:val="846"/>
    <w:next w:val="846"/>
    <w:link w:val="68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3">
    <w:name w:val="Heading 8 Char"/>
    <w:link w:val="682"/>
    <w:uiPriority w:val="9"/>
    <w:rPr>
      <w:rFonts w:ascii="Arial" w:hAnsi="Arial" w:eastAsia="Arial" w:cs="Arial"/>
      <w:i/>
      <w:iCs/>
      <w:sz w:val="22"/>
      <w:szCs w:val="22"/>
    </w:rPr>
  </w:style>
  <w:style w:type="paragraph" w:styleId="684">
    <w:name w:val="Heading 9"/>
    <w:basedOn w:val="846"/>
    <w:next w:val="846"/>
    <w:link w:val="68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5">
    <w:name w:val="Heading 9 Char"/>
    <w:link w:val="684"/>
    <w:uiPriority w:val="9"/>
    <w:rPr>
      <w:rFonts w:ascii="Arial" w:hAnsi="Arial" w:eastAsia="Arial" w:cs="Arial"/>
      <w:i/>
      <w:iCs/>
      <w:sz w:val="21"/>
      <w:szCs w:val="21"/>
    </w:rPr>
  </w:style>
  <w:style w:type="paragraph" w:styleId="686">
    <w:name w:val="List Paragraph"/>
    <w:basedOn w:val="846"/>
    <w:uiPriority w:val="34"/>
    <w:qFormat/>
    <w:pPr>
      <w:contextualSpacing/>
      <w:ind w:left="720"/>
    </w:pPr>
  </w:style>
  <w:style w:type="paragraph" w:styleId="687">
    <w:name w:val="No Spacing"/>
    <w:uiPriority w:val="1"/>
    <w:qFormat/>
    <w:pPr>
      <w:spacing w:before="0" w:after="0" w:line="240" w:lineRule="auto"/>
    </w:pPr>
  </w:style>
  <w:style w:type="paragraph" w:styleId="688">
    <w:name w:val="Title"/>
    <w:basedOn w:val="846"/>
    <w:next w:val="846"/>
    <w:link w:val="68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9">
    <w:name w:val="Title Char"/>
    <w:link w:val="688"/>
    <w:uiPriority w:val="10"/>
    <w:rPr>
      <w:sz w:val="48"/>
      <w:szCs w:val="48"/>
    </w:rPr>
  </w:style>
  <w:style w:type="paragraph" w:styleId="690">
    <w:name w:val="Subtitle"/>
    <w:basedOn w:val="846"/>
    <w:next w:val="846"/>
    <w:link w:val="691"/>
    <w:uiPriority w:val="11"/>
    <w:qFormat/>
    <w:pPr>
      <w:spacing w:before="200" w:after="200"/>
    </w:pPr>
    <w:rPr>
      <w:sz w:val="24"/>
      <w:szCs w:val="24"/>
    </w:rPr>
  </w:style>
  <w:style w:type="character" w:styleId="691">
    <w:name w:val="Subtitle Char"/>
    <w:link w:val="690"/>
    <w:uiPriority w:val="11"/>
    <w:rPr>
      <w:sz w:val="24"/>
      <w:szCs w:val="24"/>
    </w:rPr>
  </w:style>
  <w:style w:type="paragraph" w:styleId="692">
    <w:name w:val="Quote"/>
    <w:basedOn w:val="846"/>
    <w:next w:val="846"/>
    <w:link w:val="693"/>
    <w:uiPriority w:val="29"/>
    <w:qFormat/>
    <w:pPr>
      <w:ind w:left="720" w:right="720"/>
    </w:pPr>
    <w:rPr>
      <w:i/>
    </w:rPr>
  </w:style>
  <w:style w:type="character" w:styleId="693">
    <w:name w:val="Quote Char"/>
    <w:link w:val="692"/>
    <w:uiPriority w:val="29"/>
    <w:rPr>
      <w:i/>
    </w:rPr>
  </w:style>
  <w:style w:type="paragraph" w:styleId="694">
    <w:name w:val="Intense Quote"/>
    <w:basedOn w:val="846"/>
    <w:next w:val="846"/>
    <w:link w:val="69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5">
    <w:name w:val="Intense Quote Char"/>
    <w:link w:val="694"/>
    <w:uiPriority w:val="30"/>
    <w:rPr>
      <w:i/>
    </w:rPr>
  </w:style>
  <w:style w:type="paragraph" w:styleId="696">
    <w:name w:val="Header"/>
    <w:basedOn w:val="846"/>
    <w:link w:val="69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7">
    <w:name w:val="Header Char"/>
    <w:link w:val="696"/>
    <w:uiPriority w:val="99"/>
  </w:style>
  <w:style w:type="paragraph" w:styleId="698">
    <w:name w:val="Footer"/>
    <w:basedOn w:val="846"/>
    <w:link w:val="70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9">
    <w:name w:val="Footer Char"/>
    <w:link w:val="698"/>
    <w:uiPriority w:val="99"/>
  </w:style>
  <w:style w:type="paragraph" w:styleId="700">
    <w:name w:val="Caption"/>
    <w:basedOn w:val="846"/>
    <w:next w:val="84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1">
    <w:name w:val="Caption Char"/>
    <w:basedOn w:val="700"/>
    <w:link w:val="698"/>
    <w:uiPriority w:val="99"/>
  </w:style>
  <w:style w:type="table" w:styleId="702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3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4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5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6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7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9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1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2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3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4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5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6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7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8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9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40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41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42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43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44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5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6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7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8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9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0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1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6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7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8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9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0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1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2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8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9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0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1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2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4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5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6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7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8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9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0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1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02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03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04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05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06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07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8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9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0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1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2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3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4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5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6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7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8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9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0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1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2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3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4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5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6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7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8">
    <w:name w:val="Hyperlink"/>
    <w:uiPriority w:val="99"/>
    <w:unhideWhenUsed/>
    <w:rPr>
      <w:color w:val="0000ff" w:themeColor="hyperlink"/>
      <w:u w:val="single"/>
    </w:rPr>
  </w:style>
  <w:style w:type="paragraph" w:styleId="829">
    <w:name w:val="footnote text"/>
    <w:basedOn w:val="846"/>
    <w:link w:val="830"/>
    <w:uiPriority w:val="99"/>
    <w:semiHidden/>
    <w:unhideWhenUsed/>
    <w:pPr>
      <w:spacing w:after="40" w:line="240" w:lineRule="auto"/>
    </w:pPr>
    <w:rPr>
      <w:sz w:val="18"/>
    </w:rPr>
  </w:style>
  <w:style w:type="character" w:styleId="830">
    <w:name w:val="Footnote Text Char"/>
    <w:link w:val="829"/>
    <w:uiPriority w:val="99"/>
    <w:rPr>
      <w:sz w:val="18"/>
    </w:rPr>
  </w:style>
  <w:style w:type="character" w:styleId="831">
    <w:name w:val="footnote reference"/>
    <w:uiPriority w:val="99"/>
    <w:unhideWhenUsed/>
    <w:rPr>
      <w:vertAlign w:val="superscript"/>
    </w:rPr>
  </w:style>
  <w:style w:type="paragraph" w:styleId="832">
    <w:name w:val="endnote text"/>
    <w:basedOn w:val="846"/>
    <w:link w:val="833"/>
    <w:uiPriority w:val="99"/>
    <w:semiHidden/>
    <w:unhideWhenUsed/>
    <w:pPr>
      <w:spacing w:after="0" w:line="240" w:lineRule="auto"/>
    </w:pPr>
    <w:rPr>
      <w:sz w:val="20"/>
    </w:rPr>
  </w:style>
  <w:style w:type="character" w:styleId="833">
    <w:name w:val="Endnote Text Char"/>
    <w:link w:val="832"/>
    <w:uiPriority w:val="99"/>
    <w:rPr>
      <w:sz w:val="20"/>
    </w:rPr>
  </w:style>
  <w:style w:type="character" w:styleId="834">
    <w:name w:val="endnote reference"/>
    <w:uiPriority w:val="99"/>
    <w:semiHidden/>
    <w:unhideWhenUsed/>
    <w:rPr>
      <w:vertAlign w:val="superscript"/>
    </w:rPr>
  </w:style>
  <w:style w:type="paragraph" w:styleId="835">
    <w:name w:val="toc 1"/>
    <w:basedOn w:val="846"/>
    <w:next w:val="846"/>
    <w:uiPriority w:val="39"/>
    <w:unhideWhenUsed/>
    <w:pPr>
      <w:ind w:left="0" w:right="0" w:firstLine="0"/>
      <w:spacing w:after="57"/>
    </w:pPr>
  </w:style>
  <w:style w:type="paragraph" w:styleId="836">
    <w:name w:val="toc 2"/>
    <w:basedOn w:val="846"/>
    <w:next w:val="846"/>
    <w:uiPriority w:val="39"/>
    <w:unhideWhenUsed/>
    <w:pPr>
      <w:ind w:left="283" w:right="0" w:firstLine="0"/>
      <w:spacing w:after="57"/>
    </w:pPr>
  </w:style>
  <w:style w:type="paragraph" w:styleId="837">
    <w:name w:val="toc 3"/>
    <w:basedOn w:val="846"/>
    <w:next w:val="846"/>
    <w:uiPriority w:val="39"/>
    <w:unhideWhenUsed/>
    <w:pPr>
      <w:ind w:left="567" w:right="0" w:firstLine="0"/>
      <w:spacing w:after="57"/>
    </w:pPr>
  </w:style>
  <w:style w:type="paragraph" w:styleId="838">
    <w:name w:val="toc 4"/>
    <w:basedOn w:val="846"/>
    <w:next w:val="846"/>
    <w:uiPriority w:val="39"/>
    <w:unhideWhenUsed/>
    <w:pPr>
      <w:ind w:left="850" w:right="0" w:firstLine="0"/>
      <w:spacing w:after="57"/>
    </w:pPr>
  </w:style>
  <w:style w:type="paragraph" w:styleId="839">
    <w:name w:val="toc 5"/>
    <w:basedOn w:val="846"/>
    <w:next w:val="846"/>
    <w:uiPriority w:val="39"/>
    <w:unhideWhenUsed/>
    <w:pPr>
      <w:ind w:left="1134" w:right="0" w:firstLine="0"/>
      <w:spacing w:after="57"/>
    </w:pPr>
  </w:style>
  <w:style w:type="paragraph" w:styleId="840">
    <w:name w:val="toc 6"/>
    <w:basedOn w:val="846"/>
    <w:next w:val="846"/>
    <w:uiPriority w:val="39"/>
    <w:unhideWhenUsed/>
    <w:pPr>
      <w:ind w:left="1417" w:right="0" w:firstLine="0"/>
      <w:spacing w:after="57"/>
    </w:pPr>
  </w:style>
  <w:style w:type="paragraph" w:styleId="841">
    <w:name w:val="toc 7"/>
    <w:basedOn w:val="846"/>
    <w:next w:val="846"/>
    <w:uiPriority w:val="39"/>
    <w:unhideWhenUsed/>
    <w:pPr>
      <w:ind w:left="1701" w:right="0" w:firstLine="0"/>
      <w:spacing w:after="57"/>
    </w:pPr>
  </w:style>
  <w:style w:type="paragraph" w:styleId="842">
    <w:name w:val="toc 8"/>
    <w:basedOn w:val="846"/>
    <w:next w:val="846"/>
    <w:uiPriority w:val="39"/>
    <w:unhideWhenUsed/>
    <w:pPr>
      <w:ind w:left="1984" w:right="0" w:firstLine="0"/>
      <w:spacing w:after="57"/>
    </w:pPr>
  </w:style>
  <w:style w:type="paragraph" w:styleId="843">
    <w:name w:val="toc 9"/>
    <w:basedOn w:val="846"/>
    <w:next w:val="846"/>
    <w:uiPriority w:val="39"/>
    <w:unhideWhenUsed/>
    <w:pPr>
      <w:ind w:left="2268" w:right="0" w:firstLine="0"/>
      <w:spacing w:after="57"/>
    </w:pPr>
  </w:style>
  <w:style w:type="paragraph" w:styleId="844">
    <w:name w:val="TOC Heading"/>
    <w:uiPriority w:val="39"/>
    <w:unhideWhenUsed/>
  </w:style>
  <w:style w:type="paragraph" w:styleId="845">
    <w:name w:val="table of figures"/>
    <w:basedOn w:val="846"/>
    <w:next w:val="846"/>
    <w:uiPriority w:val="99"/>
    <w:unhideWhenUsed/>
    <w:pPr>
      <w:spacing w:after="0" w:afterAutospacing="0"/>
    </w:pPr>
  </w:style>
  <w:style w:type="paragraph" w:styleId="846" w:default="1">
    <w:name w:val="Normal"/>
    <w:next w:val="846"/>
    <w:link w:val="846"/>
    <w:qFormat/>
    <w:pPr>
      <w:widowControl w:val="off"/>
    </w:pPr>
    <w:rPr>
      <w:sz w:val="24"/>
      <w:szCs w:val="24"/>
      <w:lang w:val="ru-RU" w:eastAsia="zh-CN" w:bidi="hi-IN"/>
    </w:rPr>
  </w:style>
  <w:style w:type="character" w:styleId="847">
    <w:name w:val="Основной шрифт абзаца"/>
    <w:next w:val="847"/>
    <w:link w:val="846"/>
    <w:uiPriority w:val="1"/>
    <w:unhideWhenUsed/>
  </w:style>
  <w:style w:type="table" w:styleId="848">
    <w:name w:val="Обычная таблица"/>
    <w:next w:val="848"/>
    <w:link w:val="846"/>
    <w:uiPriority w:val="99"/>
    <w:semiHidden/>
    <w:unhideWhenUsed/>
    <w:tblPr/>
  </w:style>
  <w:style w:type="numbering" w:styleId="849">
    <w:name w:val="Нет списка"/>
    <w:next w:val="849"/>
    <w:link w:val="846"/>
    <w:uiPriority w:val="99"/>
    <w:semiHidden/>
    <w:unhideWhenUsed/>
  </w:style>
  <w:style w:type="paragraph" w:styleId="850">
    <w:name w:val="Standard"/>
    <w:next w:val="850"/>
    <w:link w:val="846"/>
    <w:rPr>
      <w:rFonts w:ascii="Times New Roman" w:hAnsi="Times New Roman" w:eastAsia="Times New Roman" w:cs="Times New Roman"/>
      <w:sz w:val="28"/>
      <w:lang w:val="ru-RU" w:eastAsia="zh-CN" w:bidi="ar-SA"/>
    </w:rPr>
  </w:style>
  <w:style w:type="paragraph" w:styleId="851">
    <w:name w:val="Heading"/>
    <w:basedOn w:val="850"/>
    <w:next w:val="852"/>
    <w:link w:val="846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852">
    <w:name w:val="Text body"/>
    <w:basedOn w:val="850"/>
    <w:next w:val="852"/>
    <w:link w:val="846"/>
    <w:pPr>
      <w:jc w:val="both"/>
      <w:spacing w:line="480" w:lineRule="auto"/>
    </w:pPr>
  </w:style>
  <w:style w:type="paragraph" w:styleId="853">
    <w:name w:val="Список"/>
    <w:basedOn w:val="852"/>
    <w:next w:val="853"/>
    <w:link w:val="846"/>
    <w:rPr>
      <w:rFonts w:cs="Mangal"/>
      <w:sz w:val="24"/>
    </w:rPr>
  </w:style>
  <w:style w:type="paragraph" w:styleId="854">
    <w:name w:val="Название объекта"/>
    <w:basedOn w:val="850"/>
    <w:next w:val="854"/>
    <w:link w:val="846"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855">
    <w:name w:val="Index"/>
    <w:basedOn w:val="850"/>
    <w:next w:val="855"/>
    <w:link w:val="846"/>
    <w:pPr>
      <w:suppressLineNumbers/>
    </w:pPr>
    <w:rPr>
      <w:rFonts w:cs="Mangal"/>
      <w:sz w:val="24"/>
    </w:rPr>
  </w:style>
  <w:style w:type="paragraph" w:styleId="856">
    <w:name w:val="Contents 1"/>
    <w:basedOn w:val="850"/>
    <w:next w:val="857"/>
    <w:link w:val="846"/>
    <w:pPr>
      <w:spacing w:before="360" w:after="0"/>
    </w:pPr>
    <w:rPr>
      <w:rFonts w:ascii="Arial" w:hAnsi="Arial" w:cs="Arial"/>
      <w:b/>
      <w:caps/>
    </w:rPr>
  </w:style>
  <w:style w:type="paragraph" w:styleId="857">
    <w:name w:val="Numbering 5"/>
    <w:basedOn w:val="850"/>
    <w:next w:val="857"/>
    <w:link w:val="846"/>
    <w:pPr>
      <w:numPr>
        <w:ilvl w:val="0"/>
        <w:numId w:val="2"/>
      </w:numPr>
      <w:ind w:left="1492" w:hanging="360"/>
      <w:tabs>
        <w:tab w:val="left" w:pos="2984" w:leader="none"/>
      </w:tabs>
    </w:pPr>
  </w:style>
  <w:style w:type="paragraph" w:styleId="858">
    <w:name w:val="Верхний колонтитул"/>
    <w:basedOn w:val="850"/>
    <w:next w:val="858"/>
    <w:link w:val="846"/>
    <w:pPr>
      <w:tabs>
        <w:tab w:val="center" w:pos="4153" w:leader="none"/>
        <w:tab w:val="right" w:pos="8306" w:leader="none"/>
      </w:tabs>
    </w:pPr>
  </w:style>
  <w:style w:type="paragraph" w:styleId="859">
    <w:name w:val="Нижний колонтитул"/>
    <w:basedOn w:val="850"/>
    <w:next w:val="859"/>
    <w:link w:val="846"/>
    <w:pPr>
      <w:tabs>
        <w:tab w:val="center" w:pos="4153" w:leader="none"/>
        <w:tab w:val="right" w:pos="8306" w:leader="none"/>
      </w:tabs>
    </w:pPr>
  </w:style>
  <w:style w:type="paragraph" w:styleId="860">
    <w:name w:val="Основной текст 2"/>
    <w:basedOn w:val="850"/>
    <w:next w:val="860"/>
    <w:link w:val="846"/>
    <w:pPr>
      <w:ind w:left="0" w:right="0" w:firstLine="709"/>
      <w:jc w:val="both"/>
      <w:spacing w:line="360" w:lineRule="auto"/>
    </w:pPr>
  </w:style>
  <w:style w:type="paragraph" w:styleId="861">
    <w:name w:val="Текст выноски"/>
    <w:basedOn w:val="850"/>
    <w:next w:val="861"/>
    <w:link w:val="846"/>
    <w:rPr>
      <w:rFonts w:ascii="Tahoma" w:hAnsi="Tahoma" w:cs="Tahoma"/>
      <w:sz w:val="16"/>
      <w:szCs w:val="16"/>
    </w:rPr>
  </w:style>
  <w:style w:type="paragraph" w:styleId="862">
    <w:name w:val="Frame contents"/>
    <w:basedOn w:val="850"/>
    <w:next w:val="862"/>
    <w:link w:val="846"/>
  </w:style>
  <w:style w:type="character" w:styleId="863">
    <w:name w:val="WW8Num1z0"/>
    <w:next w:val="863"/>
    <w:link w:val="846"/>
  </w:style>
  <w:style w:type="character" w:styleId="864">
    <w:name w:val="Номер страницы"/>
    <w:basedOn w:val="847"/>
    <w:next w:val="864"/>
    <w:link w:val="846"/>
  </w:style>
  <w:style w:type="character" w:styleId="865">
    <w:name w:val="Internet link"/>
    <w:next w:val="865"/>
    <w:link w:val="846"/>
    <w:rPr>
      <w:color w:val="0000ff"/>
      <w:u w:val="single"/>
    </w:rPr>
  </w:style>
  <w:style w:type="numbering" w:styleId="866">
    <w:name w:val="WW8Num1"/>
    <w:basedOn w:val="849"/>
    <w:next w:val="866"/>
    <w:link w:val="846"/>
    <w:pPr>
      <w:numPr>
        <w:ilvl w:val="0"/>
        <w:numId w:val="1"/>
      </w:numPr>
    </w:pPr>
  </w:style>
  <w:style w:type="numbering" w:styleId="867">
    <w:name w:val="WW8StyleNum"/>
    <w:basedOn w:val="849"/>
    <w:next w:val="867"/>
    <w:link w:val="846"/>
    <w:pPr>
      <w:numPr>
        <w:ilvl w:val="0"/>
        <w:numId w:val="2"/>
      </w:numPr>
    </w:pPr>
  </w:style>
  <w:style w:type="paragraph" w:styleId="868">
    <w:name w:val="Основной текст"/>
    <w:basedOn w:val="846"/>
    <w:next w:val="868"/>
    <w:link w:val="869"/>
    <w:uiPriority w:val="99"/>
    <w:semiHidden/>
    <w:unhideWhenUsed/>
    <w:pPr>
      <w:spacing w:after="120"/>
    </w:pPr>
    <w:rPr>
      <w:szCs w:val="21"/>
    </w:rPr>
  </w:style>
  <w:style w:type="character" w:styleId="869">
    <w:name w:val="Основной текст Знак"/>
    <w:next w:val="869"/>
    <w:link w:val="868"/>
    <w:uiPriority w:val="99"/>
    <w:semiHidden/>
    <w:rPr>
      <w:sz w:val="24"/>
      <w:szCs w:val="21"/>
      <w:lang w:eastAsia="zh-CN" w:bidi="hi-IN"/>
    </w:rPr>
  </w:style>
  <w:style w:type="character" w:styleId="870">
    <w:name w:val="Гиперссылка"/>
    <w:next w:val="870"/>
    <w:link w:val="846"/>
    <w:uiPriority w:val="99"/>
    <w:unhideWhenUsed/>
    <w:rPr>
      <w:color w:val="0000ff"/>
      <w:u w:val="single"/>
    </w:rPr>
  </w:style>
  <w:style w:type="character" w:styleId="871" w:default="1">
    <w:name w:val="Default Paragraph Font"/>
    <w:uiPriority w:val="1"/>
    <w:semiHidden/>
    <w:unhideWhenUsed/>
  </w:style>
  <w:style w:type="numbering" w:styleId="872" w:default="1">
    <w:name w:val="No List"/>
    <w:uiPriority w:val="99"/>
    <w:semiHidden/>
    <w:unhideWhenUsed/>
  </w:style>
  <w:style w:type="table" w:styleId="87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://niim@niimostov.ru" TargetMode="External"/><Relationship Id="rId11" Type="http://schemas.openxmlformats.org/officeDocument/2006/relationships/hyperlink" Target="http://niivagon@mail.ru" TargetMode="External"/><Relationship Id="rId12" Type="http://schemas.openxmlformats.org/officeDocument/2006/relationships/hyperlink" Target="http://ndtcenter@yandex.ru" TargetMode="External"/><Relationship Id="rId13" Type="http://schemas.openxmlformats.org/officeDocument/2006/relationships/hyperlink" Target="http://expcent@engcenter.ru" TargetMode="External"/><Relationship Id="rId14" Type="http://schemas.openxmlformats.org/officeDocument/2006/relationships/hyperlink" Target="http://register@rsfgt.ru" TargetMode="External"/><Relationship Id="rId15" Type="http://schemas.openxmlformats.org/officeDocument/2006/relationships/hyperlink" Target="http://info@zdregi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Р7-Офис/2024.4.1.630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АКУ</dc:creator>
  <cp:lastModifiedBy>e.lagmetova</cp:lastModifiedBy>
  <cp:revision>5</cp:revision>
  <dcterms:created xsi:type="dcterms:W3CDTF">2023-09-18T12:25:00Z</dcterms:created>
  <dcterms:modified xsi:type="dcterms:W3CDTF">2026-08-10T13:23:00Z</dcterms:modified>
  <cp:version>917504</cp:version>
</cp:coreProperties>
</file>